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jc w:val="right"/>
      </w:pPr>
      <w:r>
        <w:rPr>
          <w:b/>
          <w:bCs/>
          <w:sz w:val="18"/>
          <w:szCs w:val="18"/>
        </w:rPr>
        <w:t xml:space="preserve">Aethon Legal — Bóveda Privilegiada</w:t>
      </w:r>
    </w:p>
    <w:p>
      <w:pPr>
        <w:jc w:val="right"/>
      </w:pPr>
      <w:r>
        <w:rPr>
          <w:sz w:val="18"/>
          <w:szCs w:val="18"/>
        </w:rPr>
        <w:t xml:space="preserve">Santiago de Chile, 13 de junio de 2026</w:t>
      </w:r>
    </w:p>
    <w:p>
      <w:r>
        <w:t xml:space="preserve"/>
      </w:r>
    </w:p>
    <w:p>
      <w:pPr>
        <w:pStyle w:val="Heading1"/>
        <w:spacing w:after="300"/>
        <w:jc w:val="center"/>
      </w:pPr>
      <w:r>
        <w:rPr>
          <w:b/>
          <w:bCs/>
          <w:sz w:val="32"/>
          <w:szCs w:val="32"/>
        </w:rPr>
        <w:t xml:space="preserve">Acuerdo de Tratamiento de Datos Personales (DPA)</w:t>
      </w:r>
    </w:p>
    <w:p>
      <w:pPr>
        <w:pStyle w:val="Heading2"/>
        <w:spacing w:after="140" w:before="280"/>
      </w:pPr>
      <w:r>
        <w:t xml:space="preserve">Comparecencia</w:t>
      </w:r>
    </w:p>
    <w:p>
      <w:r>
        <w:t xml:space="preserve"/>
      </w:r>
    </w:p>
    <w:p>
      <w:pPr>
        <w:spacing w:after="100"/>
        <w:jc w:val="both"/>
      </w:pPr>
      <w:r>
        <w:t xml:space="preserve">Por una parte, **[</w:t>
      </w:r>
      <w:r>
        <w:rPr>
          <w:b/>
          <w:bCs/>
        </w:rPr>
        <w:t xml:space="preserve">RAZÓN SOCIAL DEL ESTUDIO</w:t>
      </w:r>
      <w:r>
        <w:t xml:space="preserve">]**, </w:t>
      </w:r>
      <w:r>
        <w:rPr>
          <w:b w:val="false"/>
          <w:bCs w:val="false"/>
        </w:rPr>
        <w:t xml:space="preserve">RUT</w:t>
      </w:r>
      <w:r>
        <w:t xml:space="preserve"> [</w:t>
      </w:r>
      <w:r>
        <w:rPr>
          <w:b w:val="false"/>
          <w:bCs w:val="false"/>
        </w:rPr>
        <w:t xml:space="preserve">RUT</w:t>
      </w:r>
      <w:r>
        <w:t xml:space="preserve">], representada por [</w:t>
      </w:r>
      <w:r>
        <w:rPr>
          <w:b/>
          <w:bCs/>
        </w:rPr>
        <w:t xml:space="preserve">REPRESENTANTE LEGAL</w:t>
      </w:r>
      <w:r>
        <w:t xml:space="preserve">], en adelante el **"Responsable"**; y por la otra, **Aethon**, operadora de la plataforma Aethon Legal Scraper, en adelante el **"Encargado"**, acuerdan el siguiente Acuerdo de Tratamiento de Datos Personales ("</w:t>
      </w:r>
      <w:r>
        <w:rPr>
          <w:b/>
          <w:bCs/>
        </w:rPr>
        <w:t xml:space="preserve">DPA</w:t>
      </w:r>
      <w:r>
        <w:t xml:space="preserve">"), accesorio al contrato de servicio de la plataforma.</w:t>
      </w:r>
    </w:p>
    <w:p>
      <w:r>
        <w:t xml:space="preserve"/>
      </w:r>
    </w:p>
    <w:p>
      <w:pPr>
        <w:pStyle w:val="Heading2"/>
        <w:spacing w:after="140" w:before="280"/>
      </w:pPr>
      <w:r>
        <w:t xml:space="preserve">1. Objeto</w:t>
      </w:r>
    </w:p>
    <w:p>
      <w:r>
        <w:t xml:space="preserve"/>
      </w:r>
    </w:p>
    <w:p>
      <w:pPr>
        <w:spacing w:after="100"/>
        <w:jc w:val="both"/>
      </w:pPr>
      <w:r>
        <w:t xml:space="preserve">El presente acuerdo regula el tratamiento de datos personales que el Encargado realiza **por cuenta y bajo instrucciones del Responsable** con ocasión del uso de la plataforma, conforme a la Ley N° 19.628 sobre Protección de la Vida Privada y a la Ley N° 21.719 desde su entrada en vigencia (1 de diciembre de 2026).</w:t>
      </w:r>
    </w:p>
    <w:p>
      <w:r>
        <w:t xml:space="preserve"/>
      </w:r>
    </w:p>
    <w:p>
      <w:pPr>
        <w:pStyle w:val="Heading2"/>
        <w:spacing w:after="140" w:before="280"/>
      </w:pPr>
      <w:r>
        <w:t xml:space="preserve">2. Naturaleza y finalidad del tratamiento</w:t>
      </w:r>
    </w:p>
    <w:p>
      <w:r>
        <w:t xml:space="preserve"/>
      </w:r>
    </w:p>
    <w:p>
      <w:pPr>
        <w:spacing w:after="100"/>
        <w:jc w:val="both"/>
      </w:pPr>
      <w:r>
        <w:t xml:space="preserve">El Encargado tratará los datos exclusivamente para prestar las funcionalidades de la plataforma: gestión de clientes, asuntos y plazos; generación asistida de documentos legales; búsqueda sobre fuentes públicas; y consulta al asistente de inteligencia artificial. Queda prohibido cualquier tratamiento con finalidad distinta, incluida la cesión, venta o el uso del contenido del Responsable para entrenar modelos de inteligencia artificial.</w:t>
      </w:r>
    </w:p>
    <w:p>
      <w:r>
        <w:t xml:space="preserve"/>
      </w:r>
    </w:p>
    <w:p>
      <w:pPr>
        <w:pStyle w:val="Heading2"/>
        <w:spacing w:after="140" w:before="280"/>
      </w:pPr>
      <w:r>
        <w:t xml:space="preserve">3. Categorías de datos y de titulares</w:t>
      </w:r>
    </w:p>
    <w:p>
      <w:r>
        <w:t xml:space="preserve"/>
      </w:r>
    </w:p>
    <w:p>
      <w:pPr>
        <w:spacing w:after="100"/>
        <w:jc w:val="both"/>
      </w:pPr>
      <w:r>
        <w:t xml:space="preserve">Datos de identificación y contacto (nombres, </w:t>
      </w:r>
      <w:r>
        <w:rPr>
          <w:b w:val="false"/>
          <w:bCs w:val="false"/>
        </w:rPr>
        <w:t xml:space="preserve">RUT</w:t>
      </w:r>
      <w:r>
        <w:t xml:space="preserve">, domicilios, correos), datos contractuales y antecedentes de hecho que el Responsable ingrese sobre sus propios clientes, contrapartes y terceros relacionados con sus asuntos profesionales. El Responsable declara contar con base de licitud para encargar dicho tratamiento. El material puede estar amparado por **secreto profesional** (art. 7° Código de Ética; art. 360 N° 1 </w:t>
      </w:r>
      <w:r>
        <w:rPr>
          <w:b w:val="false"/>
          <w:bCs w:val="false"/>
        </w:rPr>
        <w:t xml:space="preserve">CPC</w:t>
      </w:r>
      <w:r>
        <w:t xml:space="preserve">), lo que el Encargado reconoce y resguarda.</w:t>
      </w:r>
    </w:p>
    <w:p>
      <w:r>
        <w:t xml:space="preserve"/>
      </w:r>
    </w:p>
    <w:p>
      <w:pPr>
        <w:pStyle w:val="Heading2"/>
        <w:spacing w:after="140" w:before="280"/>
      </w:pPr>
      <w:r>
        <w:t xml:space="preserve">4. Obligaciones del Encargado</w:t>
      </w:r>
    </w:p>
    <w:p>
      <w:r>
        <w:t xml:space="preserve"/>
      </w:r>
    </w:p>
    <w:p>
      <w:pPr>
        <w:spacing w:after="100"/>
        <w:jc w:val="both"/>
      </w:pPr>
      <w:r>
        <w:t xml:space="preserve">a) Tratar los datos solo conforme a instrucciones documentadas del Responsable y a este </w:t>
      </w:r>
      <w:r>
        <w:rPr>
          <w:b/>
          <w:bCs/>
        </w:rPr>
        <w:t xml:space="preserve">DPA.</w:t>
      </w:r>
    </w:p>
    <w:p>
      <w:r>
        <w:t xml:space="preserve"/>
      </w:r>
    </w:p>
    <w:p>
      <w:pPr>
        <w:spacing w:after="100"/>
        <w:jc w:val="both"/>
      </w:pPr>
      <w:r>
        <w:t xml:space="preserve">b) Garantizar que las personas autorizadas a tratar datos están sujetas a obligación de confidencialidad.</w:t>
      </w:r>
    </w:p>
    <w:p>
      <w:r>
        <w:t xml:space="preserve"/>
      </w:r>
    </w:p>
    <w:p>
      <w:pPr>
        <w:spacing w:after="100"/>
        <w:jc w:val="both"/>
      </w:pPr>
      <w:r>
        <w:t xml:space="preserve">c) Aplicar medidas técnicas y organizativas apropiadas: cifrado en tránsito (</w:t>
      </w:r>
      <w:r>
        <w:rPr>
          <w:b/>
          <w:bCs/>
        </w:rPr>
        <w:t xml:space="preserve">TLS</w:t>
      </w:r>
      <w:r>
        <w:t xml:space="preserve">) y en reposo (</w:t>
      </w:r>
      <w:r>
        <w:rPr>
          <w:b/>
          <w:bCs/>
        </w:rPr>
        <w:t xml:space="preserve">AES-256</w:t>
      </w:r>
      <w:r>
        <w:t xml:space="preserve"> en la capa de base de datos), aislamiento de datos por cuenta mediante políticas de seguridad a nivel de fila (</w:t>
      </w:r>
      <w:r>
        <w:rPr>
          <w:b/>
          <w:bCs/>
        </w:rPr>
        <w:t xml:space="preserve">RLS</w:t>
      </w:r>
      <w:r>
        <w:t xml:space="preserve">), control de acceso por roles y registro de auditoría de acciones sensibles.</w:t>
      </w:r>
    </w:p>
    <w:p>
      <w:r>
        <w:t xml:space="preserve"/>
      </w:r>
    </w:p>
    <w:p>
      <w:pPr>
        <w:spacing w:after="100"/>
        <w:jc w:val="both"/>
      </w:pPr>
      <w:r>
        <w:t xml:space="preserve">d) No subcontratar el tratamiento sin informar los subencargados conforme a la cláusula 5.</w:t>
      </w:r>
    </w:p>
    <w:p>
      <w:r>
        <w:t xml:space="preserve"/>
      </w:r>
    </w:p>
    <w:p>
      <w:pPr>
        <w:spacing w:after="100"/>
        <w:jc w:val="both"/>
      </w:pPr>
      <w:r>
        <w:t xml:space="preserve">e) Notificar al Responsable, sin dilación indebida y a más tardar dentro de 72 horas desde que tome conocimiento, toda brecha de seguridad que afecte datos tratados por su cuenta, con la información disponible para que el Responsable evalúe el riesgo y cumpla sus propios deberes de notificación.</w:t>
      </w:r>
    </w:p>
    <w:p>
      <w:r>
        <w:t xml:space="preserve"/>
      </w:r>
    </w:p>
    <w:p>
      <w:pPr>
        <w:spacing w:after="100"/>
        <w:jc w:val="both"/>
      </w:pPr>
      <w:r>
        <w:t xml:space="preserve">f) Asistir al Responsable, en la medida de lo posible, para responder solicitudes de derechos de los titulares (acceso, rectificación, supresión, oposición y portabilidad — derechos </w:t>
      </w:r>
      <w:r>
        <w:rPr>
          <w:b/>
          <w:bCs/>
        </w:rPr>
        <w:t xml:space="preserve">ARCOP</w:t>
      </w:r>
      <w:r>
        <w:t xml:space="preserve">).</w:t>
      </w:r>
    </w:p>
    <w:p>
      <w:r>
        <w:t xml:space="preserve"/>
      </w:r>
    </w:p>
    <w:p>
      <w:pPr>
        <w:spacing w:after="100"/>
        <w:jc w:val="both"/>
      </w:pPr>
      <w:r>
        <w:t xml:space="preserve">g) Al término del servicio, suprimir o devolver al Responsable, a su elección, los datos personales tratados, y suprimir las copias existentes dentro de 30 días, salvo obligación legal de conservación.</w:t>
      </w:r>
    </w:p>
    <w:p>
      <w:r>
        <w:t xml:space="preserve"/>
      </w:r>
    </w:p>
    <w:p>
      <w:pPr>
        <w:spacing w:after="100"/>
        <w:jc w:val="both"/>
      </w:pPr>
      <w:r>
        <w:t xml:space="preserve">h) Poner a disposición del Responsable la información necesaria para demostrar el cumplimiento de este acuerdo, incluyendo el registro de auditoría asociado a su cuenta.</w:t>
      </w:r>
    </w:p>
    <w:p>
      <w:r>
        <w:t xml:space="preserve"/>
      </w:r>
    </w:p>
    <w:p>
      <w:pPr>
        <w:pStyle w:val="Heading2"/>
        <w:spacing w:after="140" w:before="280"/>
      </w:pPr>
      <w:r>
        <w:t xml:space="preserve">5. Subencargados</w:t>
      </w:r>
    </w:p>
    <w:p>
      <w:r>
        <w:t xml:space="preserve"/>
      </w:r>
    </w:p>
    <w:p>
      <w:pPr>
        <w:spacing w:after="100"/>
        <w:jc w:val="both"/>
      </w:pPr>
      <w:r>
        <w:t xml:space="preserve">El Responsable autoriza a los siguientes subencargados, necesarios para operar el servicio:</w:t>
      </w:r>
    </w:p>
    <w:p>
      <w:r>
        <w:t xml:space="preserve"/>
      </w:r>
    </w:p>
    <w:p>
      <w:pPr>
        <w:spacing w:after="100"/>
        <w:jc w:val="both"/>
      </w:pPr>
      <w:r>
        <w:t xml:space="preserve">- **Supabase** (base de datos y autenticación) — datos en reposo cifrados.</w:t>
      </w:r>
    </w:p>
    <w:p>
      <w:pPr>
        <w:spacing w:after="100"/>
        <w:jc w:val="both"/>
      </w:pPr>
      <w:r>
        <w:t xml:space="preserve">- **Vercel** (infraestructura de aplicación).</w:t>
      </w:r>
    </w:p>
    <w:p>
      <w:pPr>
        <w:spacing w:after="100"/>
        <w:jc w:val="both"/>
      </w:pPr>
      <w:r>
        <w:t xml:space="preserve">- **Anthropic** (modelo de lenguaje vía </w:t>
      </w:r>
      <w:r>
        <w:rPr>
          <w:b/>
          <w:bCs/>
        </w:rPr>
        <w:t xml:space="preserve">API</w:t>
      </w:r>
      <w:r>
        <w:t xml:space="preserve"> comercial) — sus términos comerciales prohíben usar los datos enviados por </w:t>
      </w:r>
      <w:r>
        <w:rPr>
          <w:b/>
          <w:bCs/>
        </w:rPr>
        <w:t xml:space="preserve">API</w:t>
      </w:r>
      <w:r>
        <w:t xml:space="preserve"> para entrenar modelos.</w:t>
      </w:r>
    </w:p>
    <w:p>
      <w:pPr>
        <w:spacing w:after="100"/>
        <w:jc w:val="both"/>
      </w:pPr>
      <w:r>
        <w:t xml:space="preserve">- **Voyage AI** (embeddings de búsqueda semántica).</w:t>
      </w:r>
    </w:p>
    <w:p>
      <w:pPr>
        <w:spacing w:after="100"/>
        <w:jc w:val="both"/>
      </w:pPr>
      <w:r>
        <w:t xml:space="preserve">- **Apify** (ejecución de scrapers sobre fuentes públicas; no recibe contenido del Responsable).</w:t>
      </w:r>
    </w:p>
    <w:p>
      <w:r>
        <w:t xml:space="preserve"/>
      </w:r>
    </w:p>
    <w:p>
      <w:pPr>
        <w:spacing w:after="100"/>
        <w:jc w:val="both"/>
      </w:pPr>
      <w:r>
        <w:t xml:space="preserve">Algunos subencargados procesan datos fuera de Chile (Estados Unidos / Unión Europea). El Encargado mantiene con ellos términos contractuales que ofrecen garantías adecuadas, e informará por escrito cualquier cambio de subencargados con al menos 15 días de anticipación, pudiendo el Responsable oponerse fundadamente.</w:t>
      </w:r>
    </w:p>
    <w:p>
      <w:r>
        <w:t xml:space="preserve"/>
      </w:r>
    </w:p>
    <w:p>
      <w:pPr>
        <w:pStyle w:val="Heading2"/>
        <w:spacing w:after="140" w:before="280"/>
      </w:pPr>
      <w:r>
        <w:t xml:space="preserve">6. Transferencias internacionales</w:t>
      </w:r>
    </w:p>
    <w:p>
      <w:r>
        <w:t xml:space="preserve"/>
      </w:r>
    </w:p>
    <w:p>
      <w:pPr>
        <w:spacing w:after="100"/>
        <w:jc w:val="both"/>
      </w:pPr>
      <w:r>
        <w:t xml:space="preserve">Toda transferencia internacional se realiza al amparo de los contratos con los subencargados indicados y de sus certificaciones y cláusulas de protección de datos. A partir de la vigencia de la Ley 21.719, el Encargado ajustará las transferencias al régimen del Título </w:t>
      </w:r>
      <w:r>
        <w:rPr>
          <w:b/>
          <w:bCs/>
        </w:rPr>
        <w:t xml:space="preserve">VII</w:t>
      </w:r>
      <w:r>
        <w:t xml:space="preserve"> de dicha ley.</w:t>
      </w:r>
    </w:p>
    <w:p>
      <w:r>
        <w:t xml:space="preserve"/>
      </w:r>
    </w:p>
    <w:p>
      <w:pPr>
        <w:pStyle w:val="Heading2"/>
        <w:spacing w:after="140" w:before="280"/>
      </w:pPr>
      <w:r>
        <w:t xml:space="preserve">7. Responsabilidad</w:t>
      </w:r>
    </w:p>
    <w:p>
      <w:r>
        <w:t xml:space="preserve"/>
      </w:r>
    </w:p>
    <w:p>
      <w:pPr>
        <w:spacing w:after="100"/>
        <w:jc w:val="both"/>
      </w:pPr>
      <w:r>
        <w:t xml:space="preserve">Cada parte responde por el incumplimiento de las obligaciones que este acuerdo y la ley le imponen en su respectivo rol. El Encargado responde por los perjuicios causados por tratamientos realizados fuera de las instrucciones del Responsable.</w:t>
      </w:r>
    </w:p>
    <w:p>
      <w:r>
        <w:t xml:space="preserve"/>
      </w:r>
    </w:p>
    <w:p>
      <w:pPr>
        <w:pStyle w:val="Heading2"/>
        <w:spacing w:after="140" w:before="280"/>
      </w:pPr>
      <w:r>
        <w:t xml:space="preserve">8. Vigencia</w:t>
      </w:r>
    </w:p>
    <w:p>
      <w:r>
        <w:t xml:space="preserve"/>
      </w:r>
    </w:p>
    <w:p>
      <w:pPr>
        <w:spacing w:after="100"/>
        <w:jc w:val="both"/>
      </w:pPr>
      <w:r>
        <w:t xml:space="preserve">Este acuerdo rige mientras el Encargado trate datos personales por cuenta del Responsable y prevalece sobre cualquier término contradictorio del contrato de servicio en materia de protección de datos.</w:t>
      </w:r>
    </w:p>
    <w:p>
      <w:r>
        <w:t xml:space="preserve"/>
      </w:r>
    </w:p>
    <w:p>
      <w:pPr>
        <w:pStyle w:val="Heading2"/>
        <w:spacing w:after="140" w:before="280"/>
      </w:pPr>
      <w:r>
        <w:t xml:space="preserve">9. Ley aplicable y jurisdicción</w:t>
      </w:r>
    </w:p>
    <w:p>
      <w:r>
        <w:t xml:space="preserve"/>
      </w:r>
    </w:p>
    <w:p>
      <w:pPr>
        <w:spacing w:after="100"/>
        <w:jc w:val="both"/>
      </w:pPr>
      <w:r>
        <w:t xml:space="preserve">Se rige por las leyes de la República de Chile. Toda controversia será sometida a los tribunales ordinarios de Santiago de Chile.</w:t>
      </w:r>
    </w:p>
    <w:p>
      <w:r>
        <w:t xml:space="preserve"/>
      </w:r>
    </w:p>
    <w:p>
      <w:pPr>
        <w:pBdr>
          <w:bottom w:val="single" w:color="999999" w:sz="6" w:space="1"/>
        </w:pBdr>
      </w:pPr>
      <w:r>
        <w:t xml:space="preserve"/>
      </w:r>
    </w:p>
    <w:p>
      <w:r>
        <w:t xml:space="preserve"/>
      </w:r>
    </w:p>
    <w:p>
      <w:pPr>
        <w:spacing w:after="100"/>
        <w:jc w:val="both"/>
      </w:pPr>
      <w:r>
        <w:t xml:space="preserve">*Template versión 1.0 — junio 2026. Este documento es un modelo de apoyo y debe ser revisado por abogado habilitado y adaptado por las partes antes de su firma.*</w:t>
      </w:r>
    </w:p>
    <w:p>
      <w:r>
        <w:t xml:space="preserve"/>
      </w:r>
    </w:p>
    <w:p>
      <w:pPr>
        <w:pBdr>
          <w:top w:val="single" w:color="BBBBBB" w:sz="4"/>
        </w:pBdr>
        <w:spacing w:before="400"/>
      </w:pPr>
      <w:r>
        <w:t xml:space="preserve"/>
      </w:r>
    </w:p>
    <w:p>
      <w:pPr>
        <w:spacing w:after="40" w:before="80"/>
      </w:pPr>
      <w:r>
        <w:rPr>
          <w:i/>
          <w:iCs/>
          <w:color w:val="666666"/>
          <w:sz w:val="16"/>
          <w:szCs w:val="16"/>
        </w:rPr>
        <w:t xml:space="preserve">Documento generado por Aethon Legal Scraper el 13 de junio de 2026, con base en la normativa vigente a esa fecha según las fuentes indexadas (BCN/LeyChile, DT, CGR).</w:t>
      </w:r>
    </w:p>
    <w:p>
      <w:pPr>
        <w:spacing w:after="80"/>
      </w:pPr>
      <w:r>
        <w:rPr>
          <w:i/>
          <w:iCs/>
          <w:color w:val="666666"/>
          <w:sz w:val="16"/>
          <w:szCs w:val="16"/>
        </w:rPr>
        <w:t xml:space="preserve">Este documento es un borrador de apoyo profesional y no constituye asesoría legal. Debe ser revisado y validado por un abogado habilitado antes de su uso. Verifique la vigencia de las normas citadas.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Acuerdo de Tratamiento de Datos Personales (DPA)</dc:title>
  <dc:creator>Aethon Legal Scraper</dc:creator>
  <dc:description>Escrito generado con IA — Aethon Legal Scraper</dc:description>
  <cp:lastModifiedBy>Un-named</cp:lastModifiedBy>
  <cp:revision>1</cp:revision>
  <dcterms:created xsi:type="dcterms:W3CDTF">2026-06-13T05:43:26.122Z</dcterms:created>
  <dcterms:modified xsi:type="dcterms:W3CDTF">2026-06-13T05:43:26.122Z</dcterms:modified>
</cp:coreProperties>
</file>

<file path=docProps/custom.xml><?xml version="1.0" encoding="utf-8"?>
<Properties xmlns="http://schemas.openxmlformats.org/officeDocument/2006/custom-properties" xmlns:vt="http://schemas.openxmlformats.org/officeDocument/2006/docPropsVTypes"/>
</file>